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b/>
          <w:sz w:val="20"/>
          <w:szCs w:val="20"/>
        </w:rPr>
      </w:pPr>
      <w:r w:rsidRPr="00F6699D">
        <w:rPr>
          <w:rFonts w:ascii="AvenirLTStd-Light" w:hAnsi="AvenirLTStd-Light" w:cs="AvenirLTStd-Light"/>
          <w:b/>
          <w:sz w:val="20"/>
          <w:szCs w:val="20"/>
        </w:rPr>
        <w:t>Canada – Your Partner in Innovation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70000"/>
          <w:sz w:val="64"/>
          <w:szCs w:val="64"/>
        </w:rPr>
      </w:pPr>
      <w:r>
        <w:rPr>
          <w:rFonts w:ascii="AvenirLTStd-Light" w:hAnsi="AvenirLTStd-Light" w:cs="AvenirLTStd-Light"/>
          <w:sz w:val="20"/>
          <w:szCs w:val="20"/>
        </w:rPr>
        <w:t>CANADA HAS A LONG HISTORY OF INVESTING IN R&amp;D, FUNDING INDUSTRY</w:t>
      </w:r>
      <w:r w:rsidR="002A73BF">
        <w:rPr>
          <w:rFonts w:ascii="AvenirLTStd-Light" w:hAnsi="AvenirLTStd-Light" w:cs="AvenirLTStd-Light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sz w:val="20"/>
          <w:szCs w:val="20"/>
        </w:rPr>
        <w:t>AND ACADEMIC PARTNERSHIP PROGRAMS, IMPLEMENTING INNOVATIONFRIENDLY</w:t>
      </w:r>
      <w:r w:rsidR="002A73BF">
        <w:rPr>
          <w:rFonts w:ascii="AvenirLTStd-Light" w:hAnsi="AvenirLTStd-Light" w:cs="AvenirLTStd-Light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sz w:val="20"/>
          <w:szCs w:val="20"/>
        </w:rPr>
        <w:t>POLICIES AND REGULATIONS AND ENCOURAGING PRIVATE-SECTOR</w:t>
      </w:r>
      <w:r w:rsidR="002A73BF">
        <w:rPr>
          <w:rFonts w:ascii="AvenirLTStd-Light" w:hAnsi="AvenirLTStd-Light" w:cs="AvenirLTStd-Light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sz w:val="20"/>
          <w:szCs w:val="20"/>
        </w:rPr>
        <w:t>ADVANCEMENT OF SCIENCE AND TECHNOLOGY. ALL OF THAT IS PROOF</w:t>
      </w:r>
      <w:r w:rsidR="002A73BF">
        <w:rPr>
          <w:rFonts w:ascii="AvenirLTStd-Light" w:hAnsi="AvenirLTStd-Light" w:cs="AvenirLTStd-Light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sz w:val="20"/>
          <w:szCs w:val="20"/>
        </w:rPr>
        <w:t>OF CANADA’S COMMITMENT TO COMMERCIALIZATION, INDUSTRY-DRIVEN</w:t>
      </w:r>
      <w:r w:rsidR="002A73BF">
        <w:rPr>
          <w:rFonts w:ascii="AvenirLTStd-Light" w:hAnsi="AvenirLTStd-Light" w:cs="AvenirLTStd-Light"/>
          <w:sz w:val="20"/>
          <w:szCs w:val="20"/>
        </w:rPr>
        <w:t xml:space="preserve"> </w:t>
      </w:r>
      <w:r>
        <w:rPr>
          <w:rFonts w:ascii="AvenirLTStd-Light" w:hAnsi="AvenirLTStd-Light" w:cs="AvenirLTStd-Light"/>
          <w:sz w:val="20"/>
          <w:szCs w:val="20"/>
        </w:rPr>
        <w:t>RESEARCH AND BECOMING AN INNOVATION PARTNER TO THE WORLD.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70000"/>
          <w:sz w:val="64"/>
          <w:szCs w:val="64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70000"/>
          <w:sz w:val="64"/>
          <w:szCs w:val="64"/>
        </w:rPr>
      </w:pPr>
      <w:r>
        <w:rPr>
          <w:rFonts w:ascii="AvenirLTStd-Black" w:hAnsi="AvenirLTStd-Black" w:cs="AvenirLTStd-Black"/>
          <w:color w:val="970000"/>
          <w:sz w:val="64"/>
          <w:szCs w:val="64"/>
        </w:rPr>
        <w:t xml:space="preserve">WHY CANADA… 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4"/>
          <w:szCs w:val="24"/>
        </w:rPr>
      </w:pPr>
      <w:r>
        <w:rPr>
          <w:rFonts w:ascii="AvenirLTStd-Black" w:hAnsi="AvenirLTStd-Black" w:cs="AvenirLTStd-Black"/>
          <w:color w:val="000000"/>
          <w:sz w:val="24"/>
          <w:szCs w:val="24"/>
        </w:rPr>
        <w:t>Canadian companies of all sizes work with international partners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 xml:space="preserve">to </w:t>
      </w:r>
      <w:proofErr w:type="gramStart"/>
      <w:r>
        <w:rPr>
          <w:rFonts w:ascii="AvenirLTStd-Black" w:hAnsi="AvenirLTStd-Black" w:cs="AvenirLTStd-Black"/>
          <w:color w:val="000000"/>
          <w:sz w:val="24"/>
          <w:szCs w:val="24"/>
        </w:rPr>
        <w:t>develop,</w:t>
      </w:r>
      <w:proofErr w:type="gramEnd"/>
      <w:r>
        <w:rPr>
          <w:rFonts w:ascii="AvenirLTStd-Black" w:hAnsi="AvenirLTStd-Black" w:cs="AvenirLTStd-Black"/>
          <w:color w:val="000000"/>
          <w:sz w:val="24"/>
          <w:szCs w:val="24"/>
        </w:rPr>
        <w:t xml:space="preserve"> adapt and validate technologies. Under this shared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>commitment to STI, innovators in Canada and the countries of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>the European Union can work together to advance R&amp;D.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Medium" w:hAnsi="AvenirLTStd-Medium" w:cs="AvenirLTStd-Medium"/>
          <w:color w:val="000000"/>
          <w:sz w:val="24"/>
          <w:szCs w:val="24"/>
        </w:rPr>
        <w:t>Innovation is a priority for industry, academic institutions and</w:t>
      </w:r>
      <w:r w:rsidR="002A73BF">
        <w:rPr>
          <w:rFonts w:ascii="AvenirLTStd-Medium" w:hAnsi="AvenirLTStd-Medium" w:cs="AvenirLTStd-Medium"/>
          <w:color w:val="000000"/>
          <w:sz w:val="24"/>
          <w:szCs w:val="24"/>
        </w:rPr>
        <w:t xml:space="preserve"> </w:t>
      </w:r>
      <w:r>
        <w:rPr>
          <w:rFonts w:ascii="AvenirLTStd-Medium" w:hAnsi="AvenirLTStd-Medium" w:cs="AvenirLTStd-Medium"/>
          <w:color w:val="000000"/>
          <w:sz w:val="24"/>
          <w:szCs w:val="24"/>
        </w:rPr>
        <w:t>all levels of government in Canada — with science, technology</w:t>
      </w:r>
      <w:r w:rsidR="002A73BF">
        <w:rPr>
          <w:rFonts w:ascii="AvenirLTStd-Medium" w:hAnsi="AvenirLTStd-Medium" w:cs="AvenirLTStd-Medium"/>
          <w:color w:val="000000"/>
          <w:sz w:val="24"/>
          <w:szCs w:val="24"/>
        </w:rPr>
        <w:t xml:space="preserve"> </w:t>
      </w:r>
      <w:r>
        <w:rPr>
          <w:rFonts w:ascii="AvenirLTStd-Medium" w:hAnsi="AvenirLTStd-Medium" w:cs="AvenirLTStd-Medium"/>
          <w:color w:val="000000"/>
          <w:sz w:val="24"/>
          <w:szCs w:val="24"/>
        </w:rPr>
        <w:t>and innovation (STI) accounting for more than $30 billion of R&amp;D</w:t>
      </w:r>
    </w:p>
    <w:p w:rsidR="00A44FD4" w:rsidRDefault="00F6699D" w:rsidP="002A73BF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4"/>
          <w:szCs w:val="24"/>
        </w:rPr>
      </w:pPr>
      <w:proofErr w:type="gramStart"/>
      <w:r>
        <w:rPr>
          <w:rFonts w:ascii="AvenirLTStd-Medium" w:hAnsi="AvenirLTStd-Medium" w:cs="AvenirLTStd-Medium"/>
          <w:color w:val="000000"/>
          <w:sz w:val="24"/>
          <w:szCs w:val="24"/>
        </w:rPr>
        <w:t>spending</w:t>
      </w:r>
      <w:proofErr w:type="gramEnd"/>
      <w:r>
        <w:rPr>
          <w:rFonts w:ascii="AvenirLTStd-Medium" w:hAnsi="AvenirLTStd-Medium" w:cs="AvenirLTStd-Medium"/>
          <w:color w:val="000000"/>
          <w:sz w:val="24"/>
          <w:szCs w:val="24"/>
        </w:rPr>
        <w:t xml:space="preserve"> every year. Canada’s R&amp;D investment sectors enjoy the</w:t>
      </w:r>
      <w:r w:rsidR="002A73BF">
        <w:rPr>
          <w:rFonts w:ascii="AvenirLTStd-Medium" w:hAnsi="AvenirLTStd-Medium" w:cs="AvenirLTStd-Medium"/>
          <w:color w:val="000000"/>
          <w:sz w:val="24"/>
          <w:szCs w:val="24"/>
        </w:rPr>
        <w:t xml:space="preserve"> </w:t>
      </w:r>
      <w:r>
        <w:rPr>
          <w:rFonts w:ascii="AvenirLTStd-Medium" w:hAnsi="AvenirLTStd-Medium" w:cs="AvenirLTStd-Medium"/>
          <w:color w:val="000000"/>
          <w:sz w:val="24"/>
          <w:szCs w:val="24"/>
        </w:rPr>
        <w:t>lowest costs and some of the best tax incentives among those</w:t>
      </w:r>
      <w:r w:rsidR="002A73BF">
        <w:rPr>
          <w:rFonts w:ascii="AvenirLTStd-Medium" w:hAnsi="AvenirLTStd-Medium" w:cs="AvenirLTStd-Medium"/>
          <w:color w:val="000000"/>
          <w:sz w:val="24"/>
          <w:szCs w:val="24"/>
        </w:rPr>
        <w:t xml:space="preserve"> </w:t>
      </w:r>
      <w:r>
        <w:rPr>
          <w:rFonts w:ascii="AvenirLTStd-Medium" w:hAnsi="AvenirLTStd-Medium" w:cs="AvenirLTStd-Medium"/>
          <w:color w:val="000000"/>
          <w:sz w:val="24"/>
          <w:szCs w:val="24"/>
        </w:rPr>
        <w:t>of all the G-7 countries.</w:t>
      </w:r>
    </w:p>
    <w:p w:rsidR="00F6699D" w:rsidRDefault="00F6699D" w:rsidP="00F6699D">
      <w:pPr>
        <w:rPr>
          <w:rFonts w:ascii="AvenirLTStd-Medium" w:hAnsi="AvenirLTStd-Medium" w:cs="AvenirLTStd-Medium"/>
          <w:color w:val="000000"/>
          <w:sz w:val="24"/>
          <w:szCs w:val="24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>#1 in the G-7</w:t>
      </w: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FOR HIGHER-EDUCATION SECTOR R&amp;D PERFORMANCE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>$15.4 billion</w:t>
      </w: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OF STI-RELATED R&amp;D SPENDING IS BY CANADIAN BUSINESSES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>500,000</w:t>
      </w: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STUDENTS GRADUATE FROM CANADA’S COLLEGES</w:t>
      </w:r>
      <w:r w:rsidR="00C2191E">
        <w:rPr>
          <w:rFonts w:ascii="AvenirLTStd-Medium" w:hAnsi="AvenirLTStd-Medium" w:cs="AvenirLTStd-Medium"/>
          <w:color w:val="000000"/>
          <w:sz w:val="20"/>
          <w:szCs w:val="20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AND UNIVERSITIES EACH YEAR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More availability of </w:t>
      </w:r>
      <w:proofErr w:type="spellStart"/>
      <w:r>
        <w:rPr>
          <w:rFonts w:ascii="AvenirLTStd-Black" w:hAnsi="AvenirLTStd-Black" w:cs="AvenirLTStd-Black"/>
          <w:color w:val="2126F6"/>
          <w:sz w:val="36"/>
          <w:szCs w:val="36"/>
        </w:rPr>
        <w:t>quali</w:t>
      </w:r>
      <w:r>
        <w:rPr>
          <w:rFonts w:ascii="AvenirLTStd-Black" w:hAnsi="AvenirLTStd-Black" w:cs="AvenirLTStd-Black"/>
          <w:color w:val="2126F6"/>
          <w:sz w:val="36"/>
          <w:szCs w:val="36"/>
        </w:rPr>
        <w:t>fed</w:t>
      </w:r>
      <w:proofErr w:type="spellEnd"/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engineers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THAN ANY OTHER G-7 COUNTRY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>55.2%</w:t>
      </w: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OF WORKERS HAVE COMPLETED POST-SECONDARY EDUCATION —</w:t>
      </w:r>
      <w:r w:rsidR="00C2191E">
        <w:rPr>
          <w:rFonts w:ascii="AvenirLTStd-Medium" w:hAnsi="AvenirLTStd-Medium" w:cs="AvenirLTStd-Medium"/>
          <w:color w:val="000000"/>
          <w:sz w:val="20"/>
          <w:szCs w:val="20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THE HIGHEST PROPORTION OF ALL OECD MEMBER COUNTRIES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36"/>
          <w:szCs w:val="3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2126F6"/>
          <w:sz w:val="36"/>
          <w:szCs w:val="36"/>
        </w:rPr>
        <w:t>#2 in the G-7</w:t>
      </w:r>
      <w:r>
        <w:rPr>
          <w:rFonts w:ascii="AvenirLTStd-Black" w:hAnsi="AvenirLTStd-Black" w:cs="AvenirLTStd-Black"/>
          <w:color w:val="2126F6"/>
          <w:sz w:val="36"/>
          <w:szCs w:val="36"/>
        </w:rPr>
        <w:t xml:space="preserve"> </w:t>
      </w:r>
      <w:r>
        <w:rPr>
          <w:rFonts w:ascii="AvenirLTStd-Medium" w:hAnsi="AvenirLTStd-Medium" w:cs="AvenirLTStd-Medium"/>
          <w:color w:val="000000"/>
          <w:sz w:val="20"/>
          <w:szCs w:val="20"/>
        </w:rPr>
        <w:t>FOR ATTRACTING VENTURE CAPITAL FINANCING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color w:val="000000"/>
          <w:sz w:val="20"/>
          <w:szCs w:val="20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64"/>
          <w:szCs w:val="64"/>
        </w:rPr>
      </w:pPr>
    </w:p>
    <w:p w:rsidR="00C2191E" w:rsidRDefault="00C2191E">
      <w:pPr>
        <w:rPr>
          <w:rFonts w:ascii="AvenirLTStd-Light" w:hAnsi="AvenirLTStd-Light" w:cs="AvenirLTStd-Light"/>
          <w:color w:val="000000"/>
          <w:sz w:val="64"/>
          <w:szCs w:val="64"/>
        </w:rPr>
      </w:pPr>
      <w:r>
        <w:rPr>
          <w:rFonts w:ascii="AvenirLTStd-Light" w:hAnsi="AvenirLTStd-Light" w:cs="AvenirLTStd-Light"/>
          <w:color w:val="000000"/>
          <w:sz w:val="64"/>
          <w:szCs w:val="64"/>
        </w:rPr>
        <w:br w:type="page"/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64"/>
          <w:szCs w:val="64"/>
        </w:rPr>
      </w:pPr>
      <w:r>
        <w:rPr>
          <w:rFonts w:ascii="AvenirLTStd-Light" w:hAnsi="AvenirLTStd-Light" w:cs="AvenirLTStd-Light"/>
          <w:color w:val="000000"/>
          <w:sz w:val="64"/>
          <w:szCs w:val="64"/>
        </w:rPr>
        <w:lastRenderedPageBreak/>
        <w:t>INNOVATING</w:t>
      </w:r>
      <w:r w:rsidR="00C2191E">
        <w:rPr>
          <w:rFonts w:ascii="AvenirLTStd-Light" w:hAnsi="AvenirLTStd-Light" w:cs="AvenirLTStd-Light"/>
          <w:color w:val="000000"/>
          <w:sz w:val="64"/>
          <w:szCs w:val="64"/>
        </w:rPr>
        <w:t xml:space="preserve"> </w:t>
      </w:r>
      <w:r>
        <w:rPr>
          <w:rFonts w:ascii="AvenirLTStd-Light" w:hAnsi="AvenirLTStd-Light" w:cs="AvenirLTStd-Light"/>
          <w:color w:val="000000"/>
          <w:sz w:val="64"/>
          <w:szCs w:val="64"/>
        </w:rPr>
        <w:t>TOGETHER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4"/>
          <w:szCs w:val="24"/>
        </w:rPr>
      </w:pPr>
      <w:r>
        <w:rPr>
          <w:rFonts w:ascii="AvenirLTStd-Black" w:hAnsi="AvenirLTStd-Black" w:cs="AvenirLTStd-Black"/>
          <w:color w:val="000000"/>
          <w:sz w:val="24"/>
          <w:szCs w:val="24"/>
        </w:rPr>
        <w:t>Canadian companies of all sizes work with international partners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 xml:space="preserve">to </w:t>
      </w:r>
      <w:proofErr w:type="gramStart"/>
      <w:r>
        <w:rPr>
          <w:rFonts w:ascii="AvenirLTStd-Black" w:hAnsi="AvenirLTStd-Black" w:cs="AvenirLTStd-Black"/>
          <w:color w:val="000000"/>
          <w:sz w:val="24"/>
          <w:szCs w:val="24"/>
        </w:rPr>
        <w:t>develop,</w:t>
      </w:r>
      <w:proofErr w:type="gramEnd"/>
      <w:r>
        <w:rPr>
          <w:rFonts w:ascii="AvenirLTStd-Black" w:hAnsi="AvenirLTStd-Black" w:cs="AvenirLTStd-Black"/>
          <w:color w:val="000000"/>
          <w:sz w:val="24"/>
          <w:szCs w:val="24"/>
        </w:rPr>
        <w:t xml:space="preserve"> adapt and validate technologies. Under this shared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>commitment to STI, innovators in Canada and the countries of</w:t>
      </w:r>
      <w:r w:rsidR="002A73BF">
        <w:rPr>
          <w:rFonts w:ascii="AvenirLTStd-Black" w:hAnsi="AvenirLTStd-Black" w:cs="AvenirLTStd-Black"/>
          <w:color w:val="000000"/>
          <w:sz w:val="24"/>
          <w:szCs w:val="24"/>
        </w:rPr>
        <w:t xml:space="preserve"> </w:t>
      </w:r>
      <w:r>
        <w:rPr>
          <w:rFonts w:ascii="AvenirLTStd-Black" w:hAnsi="AvenirLTStd-Black" w:cs="AvenirLTStd-Black"/>
          <w:color w:val="000000"/>
          <w:sz w:val="24"/>
          <w:szCs w:val="24"/>
        </w:rPr>
        <w:t>the European Union can work together to advance R&amp;D.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4"/>
          <w:szCs w:val="24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0"/>
          <w:szCs w:val="20"/>
        </w:rPr>
      </w:pPr>
      <w:r>
        <w:rPr>
          <w:rFonts w:ascii="AvenirLTStd-Black" w:hAnsi="AvenirLTStd-Black" w:cs="AvenirLTStd-Black"/>
          <w:sz w:val="20"/>
          <w:szCs w:val="20"/>
        </w:rPr>
        <w:t>TOP 20 CORPORATE R&amp;D</w:t>
      </w:r>
      <w:r w:rsidR="002A73BF">
        <w:rPr>
          <w:rFonts w:ascii="AvenirLTStd-Black" w:hAnsi="AvenirLTStd-Black" w:cs="AvenirLTStd-Black"/>
          <w:sz w:val="20"/>
          <w:szCs w:val="20"/>
        </w:rPr>
        <w:t xml:space="preserve"> </w:t>
      </w:r>
      <w:r>
        <w:rPr>
          <w:rFonts w:ascii="AvenirLTStd-Black" w:hAnsi="AvenirLTStd-Black" w:cs="AvenirLTStd-Black"/>
          <w:sz w:val="20"/>
          <w:szCs w:val="20"/>
        </w:rPr>
        <w:t>SPENDERS (2015)</w:t>
      </w:r>
      <w:r w:rsidR="002A73BF">
        <w:rPr>
          <w:rFonts w:ascii="AvenirLTStd-Black" w:hAnsi="AvenirLTStd-Black" w:cs="AvenirLTStd-Black"/>
          <w:sz w:val="20"/>
          <w:szCs w:val="20"/>
        </w:rPr>
        <w:t>:</w:t>
      </w: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  <w:lang w:val="fr-CA"/>
        </w:rPr>
      </w:pPr>
      <w:r w:rsidRPr="00F6699D">
        <w:rPr>
          <w:rFonts w:ascii="AvenirLTStd-Light" w:hAnsi="AvenirLTStd-Light" w:cs="AvenirLTStd-Light"/>
          <w:sz w:val="16"/>
          <w:szCs w:val="16"/>
          <w:lang w:val="fr-CA"/>
        </w:rPr>
        <w:t>1. Bombardier Inc. (Aerospace)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 w:rsidRPr="00F6699D">
        <w:rPr>
          <w:rFonts w:ascii="AvenirLTStd-Light" w:hAnsi="AvenirLTStd-Light" w:cs="AvenirLTStd-Light"/>
          <w:sz w:val="16"/>
          <w:szCs w:val="16"/>
          <w:lang w:val="fr-CA"/>
        </w:rPr>
        <w:t xml:space="preserve">2. Magna International Inc. </w:t>
      </w:r>
      <w:r>
        <w:rPr>
          <w:rFonts w:ascii="AvenirLTStd-Light" w:hAnsi="AvenirLTStd-Light" w:cs="AvenirLTStd-Light"/>
          <w:sz w:val="16"/>
          <w:szCs w:val="16"/>
        </w:rPr>
        <w:t>(Automotive)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3. BlackBerry Limited (Telecommunications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equipment)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4. BCE Inc. (Telecommunications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5. Canadian Natural Resources Limited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(Energy, oil and gas)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6. Pratt &amp; Whitney Canada Corp. (Aerospace)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7. IBM Canada Ltd. (Software and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computer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8. Valeant Pharmaceuticals International, Inc.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(Pharmaceuticals and biotechnology)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9. Rogers Communications Inc.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(Telecommunications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10. Constellation Software Inc.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(Software and computer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11. Ericsson Canada Inc.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(Telecommunications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 xml:space="preserve">12. </w:t>
      </w:r>
      <w:proofErr w:type="spellStart"/>
      <w:r>
        <w:rPr>
          <w:rFonts w:ascii="AvenirLTStd-Light" w:hAnsi="AvenirLTStd-Light" w:cs="AvenirLTStd-Light"/>
          <w:sz w:val="16"/>
          <w:szCs w:val="16"/>
        </w:rPr>
        <w:t>Apotex</w:t>
      </w:r>
      <w:proofErr w:type="spellEnd"/>
      <w:r>
        <w:rPr>
          <w:rFonts w:ascii="AvenirLTStd-Light" w:hAnsi="AvenirLTStd-Light" w:cs="AvenirLTStd-Light"/>
          <w:sz w:val="16"/>
          <w:szCs w:val="16"/>
        </w:rPr>
        <w:t xml:space="preserve"> Inc. (Pharmaceuticals and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biotechnology)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13. CGI Group Inc. (Software and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computer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14. Open Text Corporation (Software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and computer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15. TELUS Corporation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(Telecommunications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16. Suncor Energy Inc. (Energy, oil and gas)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17. Imperial Oil Limited (Energy, oil and gas)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18. General Motors of Canada Limited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19. AMD Canada (Electronic systems and parts)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20. Mitel Networks Corporation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(Telecommunications services)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0"/>
          <w:szCs w:val="20"/>
        </w:rPr>
      </w:pPr>
      <w:r>
        <w:rPr>
          <w:rFonts w:ascii="AvenirLTStd-Black" w:hAnsi="AvenirLTStd-Black" w:cs="AvenirLTStd-Black"/>
          <w:sz w:val="20"/>
          <w:szCs w:val="20"/>
        </w:rPr>
        <w:t>TOP 20 RESEARCH UNIVERSITIES</w:t>
      </w:r>
      <w:r w:rsidR="002A73BF">
        <w:rPr>
          <w:rFonts w:ascii="AvenirLTStd-Black" w:hAnsi="AvenirLTStd-Black" w:cs="AvenirLTStd-Black"/>
          <w:sz w:val="20"/>
          <w:szCs w:val="20"/>
        </w:rPr>
        <w:t>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1. University of Toronto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2. University of British Columbia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 xml:space="preserve">3. </w:t>
      </w:r>
      <w:proofErr w:type="spellStart"/>
      <w:r>
        <w:rPr>
          <w:rFonts w:ascii="AvenirLTStd-Light" w:hAnsi="AvenirLTStd-Light" w:cs="AvenirLTStd-Light"/>
          <w:sz w:val="16"/>
          <w:szCs w:val="16"/>
        </w:rPr>
        <w:t>Université</w:t>
      </w:r>
      <w:proofErr w:type="spellEnd"/>
      <w:r>
        <w:rPr>
          <w:rFonts w:ascii="AvenirLTStd-Light" w:hAnsi="AvenirLTStd-Light" w:cs="AvenirLTStd-Light"/>
          <w:sz w:val="16"/>
          <w:szCs w:val="16"/>
        </w:rPr>
        <w:t xml:space="preserve"> de Montréal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4. McGill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5. University of Alberta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6. University of Calgary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 xml:space="preserve">7. </w:t>
      </w:r>
      <w:proofErr w:type="spellStart"/>
      <w:r>
        <w:rPr>
          <w:rFonts w:ascii="AvenirLTStd-Light" w:hAnsi="AvenirLTStd-Light" w:cs="AvenirLTStd-Light"/>
          <w:sz w:val="16"/>
          <w:szCs w:val="16"/>
        </w:rPr>
        <w:t>Université</w:t>
      </w:r>
      <w:proofErr w:type="spellEnd"/>
      <w:r>
        <w:rPr>
          <w:rFonts w:ascii="AvenirLTStd-Light" w:hAnsi="AvenirLTStd-Light" w:cs="AvenirLTStd-Light"/>
          <w:sz w:val="16"/>
          <w:szCs w:val="16"/>
        </w:rPr>
        <w:t xml:space="preserve"> Laval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8. McMaster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9. University of Ottawa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10. Western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11. Queen’s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12. University of Waterloo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13. University of Saskatchewan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14. University of Manitoba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15. University of Guelph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16. Dalhousie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 xml:space="preserve">17. </w:t>
      </w:r>
      <w:proofErr w:type="spellStart"/>
      <w:r>
        <w:rPr>
          <w:rFonts w:ascii="AvenirLTStd-Light" w:hAnsi="AvenirLTStd-Light" w:cs="AvenirLTStd-Light"/>
          <w:sz w:val="16"/>
          <w:szCs w:val="16"/>
        </w:rPr>
        <w:t>Université</w:t>
      </w:r>
      <w:proofErr w:type="spellEnd"/>
      <w:r>
        <w:rPr>
          <w:rFonts w:ascii="AvenirLTStd-Light" w:hAnsi="AvenirLTStd-Light" w:cs="AvenirLTStd-Light"/>
          <w:sz w:val="16"/>
          <w:szCs w:val="16"/>
        </w:rPr>
        <w:t xml:space="preserve"> de </w:t>
      </w:r>
      <w:proofErr w:type="spellStart"/>
      <w:r>
        <w:rPr>
          <w:rFonts w:ascii="AvenirLTStd-Light" w:hAnsi="AvenirLTStd-Light" w:cs="AvenirLTStd-Light"/>
          <w:sz w:val="16"/>
          <w:szCs w:val="16"/>
        </w:rPr>
        <w:t>Sherbrooke</w:t>
      </w:r>
      <w:proofErr w:type="spellEnd"/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18. Simon Fraser University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19. Memorial University of Newfoundland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20. University of Victoria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000000"/>
          <w:sz w:val="20"/>
          <w:szCs w:val="20"/>
        </w:rPr>
        <w:t>SIX SECTORS WHERE</w:t>
      </w:r>
      <w:r w:rsidR="002A73BF">
        <w:rPr>
          <w:rFonts w:ascii="AvenirLTStd-Black" w:hAnsi="AvenirLTStd-Black" w:cs="AvenirLTStd-Black"/>
          <w:color w:val="000000"/>
          <w:sz w:val="20"/>
          <w:szCs w:val="20"/>
        </w:rPr>
        <w:t xml:space="preserve"> </w:t>
      </w:r>
      <w:r>
        <w:rPr>
          <w:rFonts w:ascii="AvenirLTStd-Black" w:hAnsi="AvenirLTStd-Black" w:cs="AvenirLTStd-Black"/>
          <w:color w:val="000000"/>
          <w:sz w:val="20"/>
          <w:szCs w:val="20"/>
        </w:rPr>
        <w:t>CANADA WILL LEAD: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Digital technology,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proofErr w:type="gramStart"/>
      <w:r>
        <w:rPr>
          <w:rFonts w:ascii="AvenirLTStd-Light" w:hAnsi="AvenirLTStd-Light" w:cs="AvenirLTStd-Light"/>
          <w:color w:val="000000"/>
          <w:sz w:val="16"/>
          <w:szCs w:val="16"/>
        </w:rPr>
        <w:t>Clean</w:t>
      </w:r>
      <w:proofErr w:type="gramEnd"/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 technology,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proofErr w:type="spellStart"/>
      <w:r>
        <w:rPr>
          <w:rFonts w:ascii="AvenirLTStd-Light" w:hAnsi="AvenirLTStd-Light" w:cs="AvenirLTStd-Light"/>
          <w:color w:val="000000"/>
          <w:sz w:val="16"/>
          <w:szCs w:val="16"/>
        </w:rPr>
        <w:t>Agri</w:t>
      </w:r>
      <w:proofErr w:type="spellEnd"/>
      <w:r>
        <w:rPr>
          <w:rFonts w:ascii="AvenirLTStd-Light" w:hAnsi="AvenirLTStd-Light" w:cs="AvenirLTStd-Light"/>
          <w:color w:val="000000"/>
          <w:sz w:val="16"/>
          <w:szCs w:val="16"/>
        </w:rPr>
        <w:t>-food,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Advanced manufacturing,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Bio-sciences, and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proofErr w:type="gramStart"/>
      <w:r>
        <w:rPr>
          <w:rFonts w:ascii="AvenirLTStd-Light" w:hAnsi="AvenirLTStd-Light" w:cs="AvenirLTStd-Light"/>
          <w:color w:val="000000"/>
          <w:sz w:val="16"/>
          <w:szCs w:val="16"/>
        </w:rPr>
        <w:t>Clean</w:t>
      </w:r>
      <w:proofErr w:type="gramEnd"/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 resources.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C2191E" w:rsidRDefault="00C2191E">
      <w:pPr>
        <w:rPr>
          <w:rFonts w:ascii="AvenirLTStd-Light" w:hAnsi="AvenirLTStd-Light" w:cs="AvenirLTStd-Light"/>
          <w:sz w:val="34"/>
          <w:szCs w:val="34"/>
        </w:rPr>
      </w:pPr>
      <w:r>
        <w:rPr>
          <w:rFonts w:ascii="AvenirLTStd-Light" w:hAnsi="AvenirLTStd-Light" w:cs="AvenirLTStd-Light"/>
          <w:sz w:val="34"/>
          <w:szCs w:val="34"/>
        </w:rPr>
        <w:br w:type="page"/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4"/>
          <w:szCs w:val="34"/>
        </w:rPr>
      </w:pPr>
      <w:r>
        <w:rPr>
          <w:rFonts w:ascii="AvenirLTStd-Light" w:hAnsi="AvenirLTStd-Light" w:cs="AvenirLTStd-Light"/>
          <w:sz w:val="34"/>
          <w:szCs w:val="34"/>
        </w:rPr>
        <w:lastRenderedPageBreak/>
        <w:t>CANADA AND EUROPE: WORKING TOGETHER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16"/>
          <w:szCs w:val="1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  <w:r w:rsidRPr="00F6699D">
        <w:rPr>
          <w:rFonts w:ascii="AvenirLTStd-Black" w:hAnsi="AvenirLTStd-Black" w:cs="AvenirLTStd-Black"/>
          <w:b/>
          <w:sz w:val="16"/>
          <w:szCs w:val="16"/>
        </w:rPr>
        <w:t>EUREKA and EUROSTARS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The EUREKA and EUROSTARS programs allow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companies to access co-funding for international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collaborative industrial R&amp;D projects. Canada is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an associate member of EUREKA and EUROSTARS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through the National Research Council of Canada’s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Industrial Research Assistance Program (NRC-IRAP).</w:t>
      </w: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  <w:r w:rsidRPr="00F6699D">
        <w:rPr>
          <w:rFonts w:ascii="AvenirLTStd-Black" w:hAnsi="AvenirLTStd-Black" w:cs="AvenirLTStd-Black"/>
          <w:b/>
          <w:sz w:val="16"/>
          <w:szCs w:val="16"/>
        </w:rPr>
        <w:t>HORIZON 2020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This EU research and innovation program allows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Canadian companies and researchers to participate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in European collaborative research projects, in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some cases funded by the European Commission.</w:t>
      </w: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  <w:r w:rsidRPr="00F6699D">
        <w:rPr>
          <w:rFonts w:ascii="AvenirLTStd-Black" w:hAnsi="AvenirLTStd-Black" w:cs="AvenirLTStd-Black"/>
          <w:b/>
          <w:sz w:val="16"/>
          <w:szCs w:val="16"/>
        </w:rPr>
        <w:t>ENTERPRISE CANADA NETWORK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Af</w:t>
      </w:r>
      <w:r>
        <w:rPr>
          <w:rFonts w:ascii="AvenirLTStd-Light" w:hAnsi="AvenirLTStd-Light" w:cs="AvenirLTStd-Light"/>
          <w:sz w:val="16"/>
          <w:szCs w:val="16"/>
        </w:rPr>
        <w:t>fi</w:t>
      </w:r>
      <w:r>
        <w:rPr>
          <w:rFonts w:ascii="AvenirLTStd-Light" w:hAnsi="AvenirLTStd-Light" w:cs="AvenirLTStd-Light"/>
          <w:sz w:val="16"/>
          <w:szCs w:val="16"/>
        </w:rPr>
        <w:t>liated with the Enterprise Europe Network and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hosted in Canada by the Canadian Manufacturers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and Exporters industry association, the Enterprise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Canada Network provides a platform for Canadians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 xml:space="preserve">and Europeans to </w:t>
      </w:r>
      <w:r>
        <w:rPr>
          <w:rFonts w:ascii="AvenirLTStd-Light" w:hAnsi="AvenirLTStd-Light" w:cs="AvenirLTStd-Light"/>
          <w:sz w:val="16"/>
          <w:szCs w:val="16"/>
        </w:rPr>
        <w:t>fi</w:t>
      </w:r>
      <w:r>
        <w:rPr>
          <w:rFonts w:ascii="AvenirLTStd-Light" w:hAnsi="AvenirLTStd-Light" w:cs="AvenirLTStd-Light"/>
          <w:sz w:val="16"/>
          <w:szCs w:val="16"/>
        </w:rPr>
        <w:t>nd partners for business,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proofErr w:type="gramStart"/>
      <w:r>
        <w:rPr>
          <w:rFonts w:ascii="AvenirLTStd-Light" w:hAnsi="AvenirLTStd-Light" w:cs="AvenirLTStd-Light"/>
          <w:sz w:val="16"/>
          <w:szCs w:val="16"/>
        </w:rPr>
        <w:t>investment</w:t>
      </w:r>
      <w:proofErr w:type="gramEnd"/>
      <w:r>
        <w:rPr>
          <w:rFonts w:ascii="AvenirLTStd-Light" w:hAnsi="AvenirLTStd-Light" w:cs="AvenirLTStd-Light"/>
          <w:sz w:val="16"/>
          <w:szCs w:val="16"/>
        </w:rPr>
        <w:t xml:space="preserve"> and innovation opportunities.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16"/>
          <w:szCs w:val="1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sz w:val="16"/>
          <w:szCs w:val="16"/>
        </w:rPr>
      </w:pPr>
      <w:r w:rsidRPr="00F6699D">
        <w:rPr>
          <w:rFonts w:ascii="AvenirLTStd-Black" w:hAnsi="AvenirLTStd-Black" w:cs="AvenirLTStd-Black"/>
          <w:b/>
          <w:sz w:val="16"/>
          <w:szCs w:val="16"/>
        </w:rPr>
        <w:t>UNIVERSITIES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  <w:r>
        <w:rPr>
          <w:rFonts w:ascii="AvenirLTStd-Light" w:hAnsi="AvenirLTStd-Light" w:cs="AvenirLTStd-Light"/>
          <w:sz w:val="16"/>
          <w:szCs w:val="16"/>
        </w:rPr>
        <w:t>Along with leading the development of a Canadian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research funding guide for Europeans, Universities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Canada helps innovators in Eur</w:t>
      </w:r>
      <w:r>
        <w:rPr>
          <w:rFonts w:ascii="AvenirLTStd-Light" w:hAnsi="AvenirLTStd-Light" w:cs="AvenirLTStd-Light"/>
          <w:sz w:val="16"/>
          <w:szCs w:val="16"/>
        </w:rPr>
        <w:t>o</w:t>
      </w:r>
      <w:r>
        <w:rPr>
          <w:rFonts w:ascii="AvenirLTStd-Light" w:hAnsi="AvenirLTStd-Light" w:cs="AvenirLTStd-Light"/>
          <w:sz w:val="16"/>
          <w:szCs w:val="16"/>
        </w:rPr>
        <w:t xml:space="preserve">pe </w:t>
      </w:r>
      <w:r>
        <w:rPr>
          <w:rFonts w:ascii="AvenirLTStd-Light" w:hAnsi="AvenirLTStd-Light" w:cs="AvenirLTStd-Light"/>
          <w:sz w:val="16"/>
          <w:szCs w:val="16"/>
        </w:rPr>
        <w:t>fi</w:t>
      </w:r>
      <w:r w:rsidR="00777F72">
        <w:rPr>
          <w:rFonts w:ascii="AvenirLTStd-Light" w:hAnsi="AvenirLTStd-Light" w:cs="AvenirLTStd-Light"/>
          <w:sz w:val="16"/>
          <w:szCs w:val="16"/>
        </w:rPr>
        <w:t>n</w:t>
      </w:r>
      <w:bookmarkStart w:id="0" w:name="_GoBack"/>
      <w:bookmarkEnd w:id="0"/>
      <w:r>
        <w:rPr>
          <w:rFonts w:ascii="AvenirLTStd-Light" w:hAnsi="AvenirLTStd-Light" w:cs="AvenirLTStd-Light"/>
          <w:sz w:val="16"/>
          <w:szCs w:val="16"/>
        </w:rPr>
        <w:t>d Canadian</w:t>
      </w:r>
      <w:r w:rsidR="002A73BF">
        <w:rPr>
          <w:rFonts w:ascii="AvenirLTStd-Light" w:hAnsi="AvenirLTStd-Light" w:cs="AvenirLTStd-Light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sz w:val="16"/>
          <w:szCs w:val="16"/>
        </w:rPr>
        <w:t>university research partners.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34"/>
          <w:szCs w:val="34"/>
        </w:rPr>
      </w:pPr>
      <w:r>
        <w:rPr>
          <w:rFonts w:ascii="AvenirLTStd-Light" w:hAnsi="AvenirLTStd-Light" w:cs="AvenirLTStd-Light"/>
          <w:color w:val="000000"/>
          <w:sz w:val="34"/>
          <w:szCs w:val="34"/>
        </w:rPr>
        <w:t>INNOVATION EXPERTISE IN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70000"/>
        </w:rPr>
      </w:pPr>
      <w:r>
        <w:rPr>
          <w:rFonts w:ascii="AvenirLTStd-Black" w:hAnsi="AvenirLTStd-Black" w:cs="AvenirLTStd-Black"/>
          <w:color w:val="970000"/>
        </w:rPr>
        <w:t>Canada’s diverse areas of expertise offer a wealth of unique</w:t>
      </w:r>
      <w:r w:rsidR="00FC1B6B">
        <w:rPr>
          <w:rFonts w:ascii="AvenirLTStd-Black" w:hAnsi="AvenirLTStd-Black" w:cs="AvenirLTStd-Black"/>
          <w:color w:val="970000"/>
        </w:rPr>
        <w:t xml:space="preserve"> </w:t>
      </w:r>
      <w:r>
        <w:rPr>
          <w:rFonts w:ascii="AvenirLTStd-Black" w:hAnsi="AvenirLTStd-Black" w:cs="AvenirLTStd-Black"/>
          <w:color w:val="970000"/>
        </w:rPr>
        <w:t>opportunities for partnership with innovators in the European Union.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000000"/>
          <w:sz w:val="20"/>
          <w:szCs w:val="20"/>
        </w:rPr>
        <w:t>SECTOR AREAS OF EXPERTISE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>Environment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 xml:space="preserve"> 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>and Agriculture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Aquaculture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Biotechnology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Climate change research and technology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Disaster mitigation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Food and food systems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Ocean technologies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Sustainable methods of accessing energy and mineral</w:t>
      </w:r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resources from unconventional sources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Water/wastewater — health, energy, security, treatment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</w:pPr>
      <w:r w:rsidRPr="00F6699D"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  <w:t>Information and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  <w:t xml:space="preserve"> 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  <w:t>communications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  <w:t xml:space="preserve"> 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  <w:lang w:val="fr-CA"/>
        </w:rPr>
        <w:t>technologies (ICT)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Advanced data management and analysis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Communications networks and services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Cybersecurity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>Machine learning and artifi</w:t>
      </w:r>
      <w:r>
        <w:rPr>
          <w:rFonts w:ascii="AvenirLTStd-Light" w:hAnsi="AvenirLTStd-Light" w:cs="AvenirLTStd-Light"/>
          <w:color w:val="000000"/>
          <w:sz w:val="16"/>
          <w:szCs w:val="16"/>
        </w:rPr>
        <w:t>cial intelligence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Machine-to-machine systems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proofErr w:type="gramStart"/>
      <w:r>
        <w:rPr>
          <w:rFonts w:ascii="AvenirLTStd-Light" w:hAnsi="AvenirLTStd-Light" w:cs="AvenirLTStd-Light"/>
          <w:color w:val="000000"/>
          <w:sz w:val="16"/>
          <w:szCs w:val="16"/>
        </w:rPr>
        <w:t>New</w:t>
      </w:r>
      <w:proofErr w:type="gramEnd"/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 media, animation and games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Quantum computing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 xml:space="preserve">Health and life sciences 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Biomedical engineering and medical technologies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Health in an aging population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Neuroscience and mental health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Regenerative medicine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18"/>
          <w:szCs w:val="18"/>
        </w:rPr>
      </w:pP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>Advanced manufacturing</w:t>
      </w:r>
      <w:r>
        <w:rPr>
          <w:rFonts w:ascii="AvenirLTStd-Black" w:hAnsi="AvenirLTStd-Black" w:cs="AvenirLTStd-Black"/>
          <w:color w:val="000000"/>
          <w:sz w:val="18"/>
          <w:szCs w:val="18"/>
        </w:rPr>
        <w:t xml:space="preserve"> 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Additive manufacturing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Aerospace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Automation (including robotics)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Automotive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Lightweight materials and technologies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Nanotechnology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Quantum materials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b/>
          <w:color w:val="000000"/>
          <w:sz w:val="18"/>
          <w:szCs w:val="18"/>
        </w:rPr>
      </w:pP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>Natural resources</w:t>
      </w:r>
      <w:r>
        <w:rPr>
          <w:rFonts w:ascii="AvenirLTStd-Black" w:hAnsi="AvenirLTStd-Black" w:cs="AvenirLTStd-Black"/>
          <w:b/>
          <w:color w:val="000000"/>
          <w:sz w:val="18"/>
          <w:szCs w:val="18"/>
        </w:rPr>
        <w:t xml:space="preserve"> </w:t>
      </w:r>
      <w:r w:rsidRPr="00F6699D">
        <w:rPr>
          <w:rFonts w:ascii="AvenirLTStd-Black" w:hAnsi="AvenirLTStd-Black" w:cs="AvenirLTStd-Black"/>
          <w:b/>
          <w:color w:val="000000"/>
          <w:sz w:val="18"/>
          <w:szCs w:val="18"/>
        </w:rPr>
        <w:t>and energy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Renewable energy, bioenergy, fuel cells and nuclear energy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Bio-products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Pipeline safety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Responsible development and monitoring in the Arctic</w:t>
      </w:r>
    </w:p>
    <w:p w:rsidR="00FC1B6B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64"/>
          <w:szCs w:val="64"/>
        </w:rPr>
      </w:pPr>
      <w:r>
        <w:rPr>
          <w:rFonts w:ascii="AvenirLTStd-Light" w:hAnsi="AvenirLTStd-Light" w:cs="AvenirLTStd-Light"/>
          <w:color w:val="000000"/>
          <w:sz w:val="64"/>
          <w:szCs w:val="64"/>
        </w:rPr>
        <w:lastRenderedPageBreak/>
        <w:t>CONNECT WITH</w:t>
      </w:r>
      <w:r w:rsidR="00C2191E">
        <w:rPr>
          <w:rFonts w:ascii="AvenirLTStd-Light" w:hAnsi="AvenirLTStd-Light" w:cs="AvenirLTStd-Light"/>
          <w:color w:val="000000"/>
          <w:sz w:val="64"/>
          <w:szCs w:val="64"/>
        </w:rPr>
        <w:t xml:space="preserve"> 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64"/>
          <w:szCs w:val="64"/>
        </w:rPr>
      </w:pPr>
      <w:r>
        <w:rPr>
          <w:rFonts w:ascii="AvenirLTStd-Light" w:hAnsi="AvenirLTStd-Light" w:cs="AvenirLTStd-Light"/>
          <w:color w:val="000000"/>
          <w:sz w:val="64"/>
          <w:szCs w:val="64"/>
        </w:rPr>
        <w:t>CANADA FOR STI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b/>
          <w:color w:val="000000"/>
          <w:sz w:val="16"/>
          <w:szCs w:val="16"/>
        </w:rPr>
      </w:pPr>
    </w:p>
    <w:p w:rsidR="00F6699D" w:rsidRP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b/>
          <w:color w:val="000000"/>
          <w:sz w:val="16"/>
          <w:szCs w:val="16"/>
        </w:rPr>
      </w:pPr>
      <w:r w:rsidRPr="00F6699D">
        <w:rPr>
          <w:rFonts w:ascii="AvenirLTStd-Light" w:hAnsi="AvenirLTStd-Light" w:cs="AvenirLTStd-Light"/>
          <w:b/>
          <w:color w:val="000000"/>
          <w:sz w:val="16"/>
          <w:szCs w:val="16"/>
        </w:rPr>
        <w:t>The Canadian Trade Commissioner Service (TCS) helps Canadian companies and innovators: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Assess market potential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Commercialize innovation abroad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Find and connect with R&amp;D and business contacts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Locate sources of support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Prepare for international markets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Light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Light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Resolve business issues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AvenirLTStd-Light" w:hAnsi="AvenirLTStd-Light" w:cs="AvenirLTStd-Light"/>
          <w:color w:val="000000"/>
          <w:sz w:val="16"/>
          <w:szCs w:val="16"/>
        </w:rPr>
        <w:t>To learn more about how we can help you,</w:t>
      </w:r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 xml:space="preserve">visit </w:t>
      </w:r>
      <w:hyperlink r:id="rId5" w:history="1">
        <w:r w:rsidRPr="0015675C">
          <w:rPr>
            <w:rStyle w:val="Hyperlink"/>
            <w:rFonts w:ascii="AvenirLTStd-Heavy" w:hAnsi="AvenirLTStd-Heavy" w:cs="AvenirLTStd-Heavy"/>
            <w:sz w:val="16"/>
            <w:szCs w:val="16"/>
          </w:rPr>
          <w:t>www.tradecommissioner.gc.ca</w:t>
        </w:r>
      </w:hyperlink>
      <w:r>
        <w:rPr>
          <w:rFonts w:ascii="AvenirLTStd-Light" w:hAnsi="AvenirLTStd-Light" w:cs="AvenirLTStd-Light"/>
          <w:color w:val="000000"/>
          <w:sz w:val="16"/>
          <w:szCs w:val="16"/>
        </w:rPr>
        <w:t>.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2"/>
          <w:szCs w:val="32"/>
        </w:rPr>
      </w:pPr>
      <w:r>
        <w:rPr>
          <w:rFonts w:ascii="AvenirLTStd-Light" w:hAnsi="AvenirLTStd-Light" w:cs="AvenirLTStd-Light"/>
          <w:sz w:val="32"/>
          <w:szCs w:val="32"/>
        </w:rPr>
        <w:t>FEDERAL SUPPORT FOR</w:t>
      </w:r>
      <w:r w:rsidR="00C2191E">
        <w:rPr>
          <w:rFonts w:ascii="AvenirLTStd-Light" w:hAnsi="AvenirLTStd-Light" w:cs="AvenirLTStd-Light"/>
          <w:sz w:val="32"/>
          <w:szCs w:val="32"/>
        </w:rPr>
        <w:t xml:space="preserve"> </w:t>
      </w:r>
      <w:r>
        <w:rPr>
          <w:rFonts w:ascii="AvenirLTStd-Light" w:hAnsi="AvenirLTStd-Light" w:cs="AvenirLTStd-Light"/>
          <w:sz w:val="32"/>
          <w:szCs w:val="32"/>
        </w:rPr>
        <w:t>RESEARCH IN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32"/>
          <w:szCs w:val="32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000000"/>
          <w:sz w:val="20"/>
          <w:szCs w:val="20"/>
        </w:rPr>
        <w:t>INDUSTRY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18"/>
          <w:szCs w:val="18"/>
        </w:rPr>
      </w:pPr>
      <w:r>
        <w:rPr>
          <w:rFonts w:ascii="AvenirLTStd-Black" w:hAnsi="AvenirLTStd-Black" w:cs="AvenirLTStd-Black"/>
          <w:color w:val="000000"/>
          <w:sz w:val="18"/>
          <w:szCs w:val="18"/>
        </w:rPr>
        <w:t>Research and</w:t>
      </w:r>
      <w:r w:rsidR="00FC1B6B">
        <w:rPr>
          <w:rFonts w:ascii="AvenirLTStd-Black" w:hAnsi="AvenirLTStd-Black" w:cs="AvenirLTStd-Black"/>
          <w:color w:val="000000"/>
          <w:sz w:val="18"/>
          <w:szCs w:val="18"/>
        </w:rPr>
        <w:t xml:space="preserve"> </w:t>
      </w:r>
      <w:r>
        <w:rPr>
          <w:rFonts w:ascii="AvenirLTStd-Black" w:hAnsi="AvenirLTStd-Black" w:cs="AvenirLTStd-Black"/>
          <w:color w:val="000000"/>
          <w:sz w:val="18"/>
          <w:szCs w:val="18"/>
        </w:rPr>
        <w:t>commercialization funding</w:t>
      </w:r>
      <w:r w:rsidR="00FC1B6B">
        <w:rPr>
          <w:rFonts w:ascii="AvenirLTStd-Black" w:hAnsi="AvenirLTStd-Black" w:cs="AvenirLTStd-Black"/>
          <w:color w:val="000000"/>
          <w:sz w:val="18"/>
          <w:szCs w:val="18"/>
        </w:rPr>
        <w:t xml:space="preserve"> 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Canadian Revenue Agency–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Scientific Research &amp; </w:t>
      </w:r>
      <w:r>
        <w:rPr>
          <w:rFonts w:ascii="AvenirLTStd-Light" w:hAnsi="AvenirLTStd-Light" w:cs="AvenirLTStd-Light"/>
          <w:color w:val="000000"/>
          <w:sz w:val="16"/>
          <w:szCs w:val="16"/>
        </w:rPr>
        <w:t>Experimental Development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(SR&amp;ED) tax credits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National Research Council - </w:t>
      </w:r>
      <w:r>
        <w:rPr>
          <w:rFonts w:ascii="AvenirLTStd-Light" w:hAnsi="AvenirLTStd-Light" w:cs="AvenirLTStd-Light"/>
          <w:color w:val="000000"/>
          <w:sz w:val="16"/>
          <w:szCs w:val="16"/>
        </w:rPr>
        <w:t>Industrial Research Assistance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Program (NRC-IRAP)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Networks of Centres of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Excellence of Canada (NCE)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Business-led Networks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of Centres of Excellence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(BL-NCE)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Centres of Excellence for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Commercialization and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Research (CECR)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Sustainable Development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Technology Canada (SDTC)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000000"/>
          <w:sz w:val="20"/>
          <w:szCs w:val="20"/>
        </w:rPr>
        <w:t>GOVERNMENT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18"/>
          <w:szCs w:val="18"/>
        </w:rPr>
      </w:pPr>
      <w:r>
        <w:rPr>
          <w:rFonts w:ascii="AvenirLTStd-Black" w:hAnsi="AvenirLTStd-Black" w:cs="AvenirLTStd-Black"/>
          <w:color w:val="000000"/>
          <w:sz w:val="18"/>
          <w:szCs w:val="18"/>
        </w:rPr>
        <w:t>Research and research</w:t>
      </w:r>
      <w:r w:rsidR="00FC1B6B">
        <w:rPr>
          <w:rFonts w:ascii="AvenirLTStd-Black" w:hAnsi="AvenirLTStd-Black" w:cs="AvenirLTStd-Black"/>
          <w:color w:val="000000"/>
          <w:sz w:val="18"/>
          <w:szCs w:val="18"/>
        </w:rPr>
        <w:t xml:space="preserve"> </w:t>
      </w:r>
      <w:r>
        <w:rPr>
          <w:rFonts w:ascii="AvenirLTStd-Black" w:hAnsi="AvenirLTStd-Black" w:cs="AvenirLTStd-Black"/>
          <w:color w:val="000000"/>
          <w:sz w:val="18"/>
          <w:szCs w:val="18"/>
        </w:rPr>
        <w:t>training funding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Communications Research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Centre Canada (CRC)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National Research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Council (NRC)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Science-based federal </w:t>
      </w:r>
      <w:r>
        <w:rPr>
          <w:rFonts w:ascii="AvenirLTStd-Light" w:hAnsi="AvenirLTStd-Light" w:cs="AvenirLTStd-Light"/>
          <w:color w:val="000000"/>
          <w:sz w:val="16"/>
          <w:szCs w:val="16"/>
        </w:rPr>
        <w:t>departments and agencies: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Agriculture and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proofErr w:type="spellStart"/>
      <w:r>
        <w:rPr>
          <w:rFonts w:ascii="AvenirLTStd-Light" w:hAnsi="AvenirLTStd-Light" w:cs="AvenirLTStd-Light"/>
          <w:color w:val="000000"/>
          <w:sz w:val="16"/>
          <w:szCs w:val="16"/>
        </w:rPr>
        <w:t>Agri</w:t>
      </w:r>
      <w:proofErr w:type="spellEnd"/>
      <w:r>
        <w:rPr>
          <w:rFonts w:ascii="AvenirLTStd-Light" w:hAnsi="AvenirLTStd-Light" w:cs="AvenirLTStd-Light"/>
          <w:color w:val="000000"/>
          <w:sz w:val="16"/>
          <w:szCs w:val="16"/>
        </w:rPr>
        <w:t>-Food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Canadian Space Agency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Environment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Fisheries and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Oceans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Health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Wingdings-Regular" w:hAnsi="Wingdings-Regular" w:cs="Wingdings-Regular"/>
          <w:color w:val="2126F6"/>
          <w:sz w:val="10"/>
          <w:szCs w:val="10"/>
        </w:rPr>
        <w:t xml:space="preserve">¢ </w:t>
      </w:r>
      <w:r>
        <w:rPr>
          <w:rFonts w:ascii="AvenirLTStd-Light" w:hAnsi="AvenirLTStd-Light" w:cs="AvenirLTStd-Light"/>
          <w:color w:val="000000"/>
          <w:sz w:val="16"/>
          <w:szCs w:val="16"/>
        </w:rPr>
        <w:t>Natural Resources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000000"/>
          <w:sz w:val="20"/>
          <w:szCs w:val="20"/>
        </w:rPr>
        <w:t>UNIVERSITIES,</w:t>
      </w:r>
      <w:r w:rsidR="00FC1B6B">
        <w:rPr>
          <w:rFonts w:ascii="AvenirLTStd-Black" w:hAnsi="AvenirLTStd-Black" w:cs="AvenirLTStd-Black"/>
          <w:color w:val="000000"/>
          <w:sz w:val="20"/>
          <w:szCs w:val="20"/>
        </w:rPr>
        <w:t xml:space="preserve"> </w:t>
      </w:r>
      <w:r>
        <w:rPr>
          <w:rFonts w:ascii="AvenirLTStd-Black" w:hAnsi="AvenirLTStd-Black" w:cs="AvenirLTStd-Black"/>
          <w:color w:val="000000"/>
          <w:sz w:val="20"/>
          <w:szCs w:val="20"/>
        </w:rPr>
        <w:t>COLLEGES AND</w:t>
      </w:r>
      <w:r w:rsidR="00FC1B6B">
        <w:rPr>
          <w:rFonts w:ascii="AvenirLTStd-Black" w:hAnsi="AvenirLTStd-Black" w:cs="AvenirLTStd-Black"/>
          <w:color w:val="000000"/>
          <w:sz w:val="20"/>
          <w:szCs w:val="20"/>
        </w:rPr>
        <w:t xml:space="preserve"> </w:t>
      </w:r>
      <w:r>
        <w:rPr>
          <w:rFonts w:ascii="AvenirLTStd-Black" w:hAnsi="AvenirLTStd-Black" w:cs="AvenirLTStd-Black"/>
          <w:color w:val="000000"/>
          <w:sz w:val="20"/>
          <w:szCs w:val="20"/>
        </w:rPr>
        <w:t>TEACHING HOSPITALS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000000"/>
          <w:sz w:val="18"/>
          <w:szCs w:val="18"/>
        </w:rPr>
      </w:pPr>
      <w:r>
        <w:rPr>
          <w:rFonts w:ascii="AvenirLTStd-Black" w:hAnsi="AvenirLTStd-Black" w:cs="AvenirLTStd-Black"/>
          <w:color w:val="000000"/>
          <w:sz w:val="18"/>
          <w:szCs w:val="18"/>
        </w:rPr>
        <w:t>Research and research</w:t>
      </w:r>
      <w:r w:rsidR="00FC1B6B">
        <w:rPr>
          <w:rFonts w:ascii="AvenirLTStd-Black" w:hAnsi="AvenirLTStd-Black" w:cs="AvenirLTStd-Black"/>
          <w:color w:val="000000"/>
          <w:sz w:val="18"/>
          <w:szCs w:val="18"/>
        </w:rPr>
        <w:t xml:space="preserve"> </w:t>
      </w:r>
      <w:r>
        <w:rPr>
          <w:rFonts w:ascii="AvenirLTStd-Black" w:hAnsi="AvenirLTStd-Black" w:cs="AvenirLTStd-Black"/>
          <w:color w:val="000000"/>
          <w:sz w:val="18"/>
          <w:szCs w:val="18"/>
        </w:rPr>
        <w:t>training funding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16"/>
          <w:szCs w:val="16"/>
        </w:rPr>
      </w:pPr>
      <w:r>
        <w:rPr>
          <w:rFonts w:ascii="AvenirLTStd-Black" w:hAnsi="AvenirLTStd-Black" w:cs="AvenirLTStd-Black"/>
          <w:color w:val="2126F6"/>
          <w:sz w:val="16"/>
          <w:szCs w:val="16"/>
        </w:rPr>
        <w:t>GRANTING AGENCIES: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Canadian Institute for Health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Research (CIHR)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Natural Science &amp; Engineering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Research Council of Canada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(NSERC)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Social Sciences &amp; Humanities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Research Council of Canada </w:t>
      </w:r>
      <w:r>
        <w:rPr>
          <w:rFonts w:ascii="AvenirLTStd-Light" w:hAnsi="AvenirLTStd-Light" w:cs="AvenirLTStd-Light"/>
          <w:color w:val="000000"/>
          <w:sz w:val="16"/>
          <w:szCs w:val="16"/>
        </w:rPr>
        <w:t>(SSHRC)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2126F6"/>
          <w:sz w:val="16"/>
          <w:szCs w:val="16"/>
        </w:rPr>
      </w:pPr>
      <w:r>
        <w:rPr>
          <w:rFonts w:ascii="AvenirLTStd-Black" w:hAnsi="AvenirLTStd-Black" w:cs="AvenirLTStd-Black"/>
          <w:color w:val="2126F6"/>
          <w:sz w:val="16"/>
          <w:szCs w:val="16"/>
        </w:rPr>
        <w:t>FOUNDATIONS: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Canada Foundation</w:t>
      </w:r>
      <w:r w:rsidR="00FC1B6B">
        <w:rPr>
          <w:rFonts w:ascii="AvenirLTStd-Light" w:hAnsi="AvenirLTStd-Light" w:cs="AvenirLTStd-Light"/>
          <w:color w:val="000000"/>
          <w:sz w:val="16"/>
          <w:szCs w:val="16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for Innovation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r>
        <w:rPr>
          <w:rFonts w:ascii="AvenirLTStd-Light" w:hAnsi="AvenirLTStd-Light" w:cs="AvenirLTStd-Light"/>
          <w:color w:val="000000"/>
          <w:sz w:val="16"/>
          <w:szCs w:val="16"/>
        </w:rPr>
        <w:t>Genome Canada</w:t>
      </w: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  <w:r>
        <w:rPr>
          <w:rFonts w:ascii="ZapfDingbatsITC" w:eastAsia="ZapfDingbatsITC" w:hAnsi="AvenirLTStd-Black" w:cs="ZapfDingbatsITC" w:hint="eastAsia"/>
          <w:color w:val="2126F6"/>
          <w:sz w:val="10"/>
          <w:szCs w:val="10"/>
        </w:rPr>
        <w:t>●</w:t>
      </w:r>
      <w:r>
        <w:rPr>
          <w:rFonts w:ascii="ZapfDingbatsITC" w:eastAsia="ZapfDingbatsITC" w:hAnsi="AvenirLTStd-Black" w:cs="ZapfDingbatsITC"/>
          <w:color w:val="2126F6"/>
          <w:sz w:val="10"/>
          <w:szCs w:val="10"/>
        </w:rPr>
        <w:t xml:space="preserve"> </w:t>
      </w:r>
      <w:proofErr w:type="spellStart"/>
      <w:r>
        <w:rPr>
          <w:rFonts w:ascii="AvenirLTStd-Light" w:hAnsi="AvenirLTStd-Light" w:cs="AvenirLTStd-Light"/>
          <w:color w:val="000000"/>
          <w:sz w:val="16"/>
          <w:szCs w:val="16"/>
        </w:rPr>
        <w:t>Mitacs</w:t>
      </w:r>
      <w:proofErr w:type="spellEnd"/>
    </w:p>
    <w:p w:rsidR="00F6699D" w:rsidRDefault="00F6699D" w:rsidP="00F6699D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16"/>
          <w:szCs w:val="16"/>
        </w:rPr>
      </w:pPr>
    </w:p>
    <w:p w:rsidR="00F6699D" w:rsidRDefault="00F6699D" w:rsidP="00F6699D">
      <w:pPr>
        <w:autoSpaceDE w:val="0"/>
        <w:autoSpaceDN w:val="0"/>
        <w:adjustRightInd w:val="0"/>
        <w:spacing w:after="0" w:line="240" w:lineRule="auto"/>
      </w:pPr>
    </w:p>
    <w:sectPr w:rsidR="00F6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D"/>
    <w:rsid w:val="002A73BF"/>
    <w:rsid w:val="002E1073"/>
    <w:rsid w:val="00777F72"/>
    <w:rsid w:val="00A44FD4"/>
    <w:rsid w:val="00C2191E"/>
    <w:rsid w:val="00F0456A"/>
    <w:rsid w:val="00F6699D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decommissioner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Inga-Lill -STKHM -TD</dc:creator>
  <cp:lastModifiedBy>Olsson, Inga-Lill -STKHM -TD</cp:lastModifiedBy>
  <cp:revision>4</cp:revision>
  <cp:lastPrinted>2017-05-02T13:01:00Z</cp:lastPrinted>
  <dcterms:created xsi:type="dcterms:W3CDTF">2017-05-02T11:51:00Z</dcterms:created>
  <dcterms:modified xsi:type="dcterms:W3CDTF">2017-05-02T13:25:00Z</dcterms:modified>
</cp:coreProperties>
</file>